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79" w:rsidRDefault="00E40FBB" w:rsidP="00E40FBB">
      <w:pPr>
        <w:jc w:val="both"/>
      </w:pPr>
      <w:r w:rsidRPr="00E40FBB">
        <w:t>TRANSGAZ S.A. informuje, że Spółka stosownie do postanowień art. 24 ust.4, w związku z art. 23 Ustawy z dnia 22 lipca 2016 r. o zmianie ustawy – Prawo energetyczne oraz niektórych innych ustaw (Dz.U. z 2016 poz. 1165), w dniu 2 grudnia 2016 r. złożyła Naczelnikowi Urzędu Celnego w Białej Podlaskiej zabezpieczenie majątkowe, o którym mowa w art. 38a ust. 1 Ustawy 10 kwietnia 1997 Prawo energetyczne (tj. Dz.U. z 2012 r. poz.1059 z póź. zm.,) w formie określonej w art. 38a ust.3 pkt.1 ww. ustawy, tj.: Gwarancji Bankowej. Tym samym posiadana przez Spółkę koncesja na wytwarzanie paliw ciekłych nr WPC/184/18688/W/1/2010/MJ zachowuje swoją ważność.</w:t>
      </w:r>
      <w:r w:rsidR="008E7D22">
        <w:t xml:space="preserve"> W z</w:t>
      </w:r>
      <w:r w:rsidR="001D60B7">
        <w:t>wiązku z powyższym nasza spółka zachowa dotychczasowy</w:t>
      </w:r>
      <w:r w:rsidRPr="00E40FBB">
        <w:t xml:space="preserve"> </w:t>
      </w:r>
      <w:r w:rsidR="001D60B7">
        <w:t xml:space="preserve">zakres usług, jednocześnie pozostając </w:t>
      </w:r>
      <w:bookmarkStart w:id="0" w:name="_GoBack"/>
      <w:bookmarkEnd w:id="0"/>
      <w:r w:rsidR="001D60B7">
        <w:t>w gronie niewielu firm branży LPG posiadających taką koncesję</w:t>
      </w:r>
      <w:r>
        <w:t>.</w:t>
      </w:r>
    </w:p>
    <w:sectPr w:rsidR="00391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BB"/>
    <w:rsid w:val="001D60B7"/>
    <w:rsid w:val="00391D79"/>
    <w:rsid w:val="008E7D22"/>
    <w:rsid w:val="00E4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Andrzej Radzikowski</cp:lastModifiedBy>
  <cp:revision>2</cp:revision>
  <dcterms:created xsi:type="dcterms:W3CDTF">2016-12-05T10:57:00Z</dcterms:created>
  <dcterms:modified xsi:type="dcterms:W3CDTF">2016-12-05T10:57:00Z</dcterms:modified>
</cp:coreProperties>
</file>